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能力指標：9-s-09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9-s-09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57" w:right="57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能理解多邊形內心的意義和相關性質。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S-4-16</w:t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S-4-17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多邊形內切圓的圓心稱為此多邊形的內心。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能理解多邊形的內心一定落在每個頂點的角平分線上。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能理解某些多邊形不一定有內心。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任一個三角形必有內心；三角形的內心在三角形的內部。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理解多邊形的內心至各邊等距離，而且這個距離就是內切圓的半徑。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設</w:t>
      </w:r>
      <w:r w:rsidDel="00000000" w:rsidR="00000000" w:rsidRPr="00000000">
        <w:drawing>
          <wp:inline distB="0" distT="0" distL="114300" distR="114300">
            <wp:extent cx="441960" cy="175260"/>
            <wp:effectExtent b="0" l="0" r="0" t="0"/>
            <wp:docPr id="4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175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周長</w:t>
      </w:r>
      <w:r w:rsidDel="00000000" w:rsidR="00000000" w:rsidRPr="00000000">
        <w:drawing>
          <wp:inline distB="0" distT="0" distL="114300" distR="114300">
            <wp:extent cx="137160" cy="144780"/>
            <wp:effectExtent b="0" l="0" r="0" t="0"/>
            <wp:docPr id="6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447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，內切圓半徑</w:t>
      </w:r>
      <w:r w:rsidDel="00000000" w:rsidR="00000000" w:rsidRPr="00000000">
        <w:drawing>
          <wp:inline distB="0" distT="0" distL="114300" distR="114300">
            <wp:extent cx="114300" cy="137160"/>
            <wp:effectExtent b="0" l="0" r="0" t="0"/>
            <wp:docPr id="5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7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，則</w:t>
      </w:r>
      <w:r w:rsidDel="00000000" w:rsidR="00000000" w:rsidRPr="00000000">
        <w:drawing>
          <wp:inline distB="0" distT="0" distL="114300" distR="114300">
            <wp:extent cx="441960" cy="175260"/>
            <wp:effectExtent b="0" l="0" r="0" t="0"/>
            <wp:docPr id="8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175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的面積＝</w:t>
      </w:r>
      <w:r w:rsidDel="00000000" w:rsidR="00000000" w:rsidRPr="00000000">
        <w:drawing>
          <wp:inline distB="0" distT="0" distL="114300" distR="114300">
            <wp:extent cx="205740" cy="396240"/>
            <wp:effectExtent b="0" l="0" r="0" t="0"/>
            <wp:docPr id="7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396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。直角三角形中，內切圓半徑 </w:t>
      </w:r>
      <w:r w:rsidDel="00000000" w:rsidR="00000000" w:rsidRPr="00000000">
        <w:drawing>
          <wp:inline distB="0" distT="0" distL="114300" distR="114300">
            <wp:extent cx="114300" cy="137160"/>
            <wp:effectExtent b="0" l="0" r="0" t="0"/>
            <wp:docPr id="10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7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＝(兩股和－斜邊)÷ 2。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1893"/>
        <w:gridCol w:w="2260"/>
        <w:gridCol w:w="2077"/>
        <w:tblGridChange w:id="0">
          <w:tblGrid>
            <w:gridCol w:w="2076"/>
            <w:gridCol w:w="1893"/>
            <w:gridCol w:w="2260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9-s-09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三角形的內心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2/TI8GORK7IL.png" id="9" name="image21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TI8GORK7IL.png" id="0" name="image2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三角形內心性質1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2/AV16276INV.png" id="12" name="image25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AV16276INV.png" id="0" name="image2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三角形內心性質2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2/K4S1CGX21F.png" id="11" name="image23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K4S1CGX21F.png" id="0" name="image23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三角形內心性質3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2/ME8ZQ17DJ9.png" id="15" name="image33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ME8ZQ17DJ9.png" id="0" name="image33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多邊形的內心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2/R7V6V4DXR9.png" id="13" name="image28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R7V6V4DXR9.png" id="0" name="image28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一、請依照題意判斷，並將正確的答案填入空格中：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457.0" w:type="dxa"/>
        <w:jc w:val="left"/>
        <w:tblInd w:w="17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6"/>
        <w:gridCol w:w="8031"/>
        <w:tblGridChange w:id="0">
          <w:tblGrid>
            <w:gridCol w:w="426"/>
            <w:gridCol w:w="8031"/>
          </w:tblGrid>
        </w:tblGridChange>
      </w:tblGrid>
      <w:tr>
        <w:trPr>
          <w:trHeight w:val="68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三角形的內心即是三角形三內角的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交於一點。</w:t>
            </w:r>
          </w:p>
        </w:tc>
      </w:tr>
      <w:tr>
        <w:trPr>
          <w:trHeight w:val="68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內心到三角形的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等距離。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與三角形三邊相切的圓，而這個圓稱為三角形的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，且此圓的</w:t>
              <w:br w:type="textWrapping"/>
              <w:t xml:space="preserve">圓心稱為三角形的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5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銳角三角形的內心位置落在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鈍角三角形的內心位置落在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直角三角形的內心位置落在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58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若一個多邊形內部有一圓，且此圓與多邊形的每邊都相切，我們就說這個圓是此多邊形的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，圓心是此多邊形的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，而此多邊形為這個圓的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二、如圖，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的內心，若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∠ABC=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60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∠ACB=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40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4082415</wp:posOffset>
            </wp:positionH>
            <wp:positionV relativeFrom="paragraph">
              <wp:posOffset>217805</wp:posOffset>
            </wp:positionV>
            <wp:extent cx="1248410" cy="920750"/>
            <wp:effectExtent b="0" l="0" r="0" t="0"/>
            <wp:wrapSquare wrapText="bothSides" distB="0" distT="0" distL="114300" distR="114300"/>
            <wp:docPr id="14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920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∠IBC + ∠ICB=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∠BIC=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40" w:hanging="44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三、如圖，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中，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為內切圓的圓心，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∆AIB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的面積為24，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∆AIC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的面積為15，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∆BIC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的面積為21，則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：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：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。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4206240</wp:posOffset>
            </wp:positionH>
            <wp:positionV relativeFrom="paragraph">
              <wp:posOffset>205740</wp:posOffset>
            </wp:positionV>
            <wp:extent cx="1327785" cy="1007745"/>
            <wp:effectExtent b="0" l="0" r="0" t="0"/>
            <wp:wrapSquare wrapText="bothSides" distB="0" distT="0" distL="114300" distR="114300"/>
            <wp:docPr id="16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0077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40" w:hanging="44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四、如圖，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的內心，已知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的內切圓半徑為4，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=15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=13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=14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的面積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平方單位。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4137659</wp:posOffset>
            </wp:positionH>
            <wp:positionV relativeFrom="paragraph">
              <wp:posOffset>317500</wp:posOffset>
            </wp:positionV>
            <wp:extent cx="1151255" cy="1080135"/>
            <wp:effectExtent b="0" l="0" r="0" t="0"/>
            <wp:wrapSquare wrapText="bothSides" distB="0" distT="0" distL="114300" distR="114300"/>
            <wp:docPr id="17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0801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4"/>
        <w:bidiVisual w:val="0"/>
        <w:tblW w:w="9184.0" w:type="dxa"/>
        <w:jc w:val="left"/>
        <w:tblInd w:w="-6.999999999999993" w:type="dxa"/>
        <w:tblLayout w:type="fixed"/>
        <w:tblLook w:val="0400"/>
      </w:tblPr>
      <w:tblGrid>
        <w:gridCol w:w="1247"/>
        <w:gridCol w:w="7937"/>
        <w:tblGridChange w:id="0">
          <w:tblGrid>
            <w:gridCol w:w="1247"/>
            <w:gridCol w:w="7937"/>
          </w:tblGrid>
        </w:tblGridChange>
      </w:tblGrid>
      <w:tr>
        <w:trPr>
          <w:trHeight w:val="27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黃老師在黑板上畫了一個三角形，要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u w:val="single"/>
                <w:rtl w:val="0"/>
              </w:rPr>
              <w:t xml:space="preserve">雯雯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找出此三角形內切圓的圓心，請問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u w:val="single"/>
                <w:rtl w:val="0"/>
              </w:rPr>
              <w:t xml:space="preserve">雯雯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該如何做才對？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(A) 畫出每個邊上的高，則交點即為所求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(B) 畫出每個邊上的中垂線，則交點即為所求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(C) 畫出每個邊上的中線，則交點即為所求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(D) 畫出三內角的角平分線，則交點即為所求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關於多邊形的內心，下列敘述何者正確？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(A)平行四邊形必有內心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(B)五邊形必有內心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(C)若一多邊形有內切圓，則此多邊形的各角角平分線必同時交於一點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(D)若一多邊形的各角角平分線交於一點，則此多邊形必為圓內接多邊形</w:t>
            </w:r>
          </w:p>
        </w:tc>
      </w:tr>
    </w:tbl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二、在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中，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點為內心，請問：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(1)若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∠BAC=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100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，則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∠BIC=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(2)若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∠BIC=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150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，則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∠BAC=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40" w:hanging="44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三、如圖，若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為直角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的內心，且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∠C=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90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=10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=8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3474720</wp:posOffset>
            </wp:positionH>
            <wp:positionV relativeFrom="paragraph">
              <wp:posOffset>253365</wp:posOffset>
            </wp:positionV>
            <wp:extent cx="1661160" cy="792480"/>
            <wp:effectExtent b="0" l="0" r="0" t="0"/>
            <wp:wrapSquare wrapText="bothSides" distB="0" distT="0" distL="114300" distR="114300"/>
            <wp:docPr id="18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7924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∆ABC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的面積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平方單位。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∆BIC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的面積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平方單位。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4556760</wp:posOffset>
            </wp:positionH>
            <wp:positionV relativeFrom="paragraph">
              <wp:posOffset>188595</wp:posOffset>
            </wp:positionV>
            <wp:extent cx="1043940" cy="1079500"/>
            <wp:effectExtent b="0" l="0" r="0" t="0"/>
            <wp:wrapSquare wrapText="bothSides" distB="0" distT="0" distL="114300" distR="114300"/>
            <wp:docPr descr="「等腰三角形」的圖片搜尋結果" id="1" name="image9.png"/>
            <a:graphic>
              <a:graphicData uri="http://schemas.openxmlformats.org/drawingml/2006/picture">
                <pic:pic>
                  <pic:nvPicPr>
                    <pic:cNvPr descr="「等腰三角形」的圖片搜尋結果" id="0" name="image9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79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四、如圖，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中，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=10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=12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AD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⊥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AD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∆ABC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的內切圓半徑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240" w:lineRule="auto"/>
        <w:ind w:right="2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五、如圖，直角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中，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∠B=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90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=4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=3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，則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的內切圓半徑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。</w:t>
      </w:r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360" w:lineRule="auto"/>
        <w:ind w:left="440" w:hanging="44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4251960</wp:posOffset>
            </wp:positionH>
            <wp:positionV relativeFrom="paragraph">
              <wp:posOffset>40005</wp:posOffset>
            </wp:positionV>
            <wp:extent cx="1059180" cy="754380"/>
            <wp:effectExtent b="0" l="0" r="0" t="0"/>
            <wp:wrapSquare wrapText="bothSides" distB="0" distT="0" distL="114300" distR="114300"/>
            <wp:docPr id="19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754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一、請判斷下列敘述是否正確，如果正確打「O」，不正確打「X」：</w:t>
      </w:r>
    </w:p>
    <w:p w:rsidR="00000000" w:rsidDel="00000000" w:rsidP="00000000" w:rsidRDefault="00000000" w:rsidRPr="00000000">
      <w:pPr>
        <w:pBdr/>
        <w:spacing w:line="240" w:lineRule="auto"/>
        <w:ind w:left="280" w:hanging="280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8760.0" w:type="dxa"/>
        <w:jc w:val="left"/>
        <w:tblInd w:w="-6.999999999999993" w:type="dxa"/>
        <w:tblLayout w:type="fixed"/>
        <w:tblLook w:val="0400"/>
      </w:tblPr>
      <w:tblGrid>
        <w:gridCol w:w="1560"/>
        <w:gridCol w:w="7200"/>
        <w:tblGridChange w:id="0">
          <w:tblGrid>
            <w:gridCol w:w="1560"/>
            <w:gridCol w:w="7200"/>
          </w:tblGrid>
        </w:tblGridChange>
      </w:tblGrid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三角形的內心為三條內角角平分線的交點。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直角三角形的內心在斜邊的中點。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三角形的內心必在三角形的內部。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以內心為圓心，內心到三邊的距離為半徑，則可畫出一個內切圓。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三角形的內切圓與外接圓為同心圓。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)6.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菱形必有內切圓。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)7.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任一矩形必有內切圓。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)8.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圓的外切矩形必為正方形。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)9.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四邊形的內心是四條角平分線的交點。</w:t>
            </w:r>
          </w:p>
        </w:tc>
      </w:tr>
    </w:tbl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二、如圖，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點為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的內心，已知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∠BIC=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156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∠A=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spacing w:line="240" w:lineRule="auto"/>
        <w:ind w:left="440" w:firstLine="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drawing>
          <wp:inline distB="0" distT="0" distL="0" distR="0">
            <wp:extent cx="1790700" cy="548640"/>
            <wp:effectExtent b="0" l="0" r="0" t="0"/>
            <wp:docPr descr="4-2-006" id="20" name="image40.png"/>
            <a:graphic>
              <a:graphicData uri="http://schemas.openxmlformats.org/drawingml/2006/picture">
                <pic:pic>
                  <pic:nvPicPr>
                    <pic:cNvPr descr="4-2-006" id="0" name="image40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48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三、已知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的面積為24，若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=7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，內切圓半徑為2，則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+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CA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40" w:hanging="44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四、如圖，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的內切圓圓心，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AD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=2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BE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=4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FC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=6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AD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⊥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AF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，則：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3962400</wp:posOffset>
            </wp:positionH>
            <wp:positionV relativeFrom="paragraph">
              <wp:posOffset>249555</wp:posOffset>
            </wp:positionV>
            <wp:extent cx="1534048" cy="828000"/>
            <wp:effectExtent b="0" l="0" r="0" t="0"/>
            <wp:wrapSquare wrapText="bothSides" distB="0" distT="0" distL="114300" distR="114300"/>
            <wp:docPr descr="4-2-097" id="2" name="image14.png"/>
            <a:graphic>
              <a:graphicData uri="http://schemas.openxmlformats.org/drawingml/2006/picture">
                <pic:pic>
                  <pic:nvPicPr>
                    <pic:cNvPr descr="4-2-097" id="0" name="image14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4048" cy="828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∆ABC</m:t>
          </m: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的周長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∆ABC</m:t>
          </m: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的面積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平方單位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(3) 圓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的半徑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40" w:hanging="44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五、如圖，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的內心是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點，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到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最短距離為3，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=11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AC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=13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，且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的周長為34，則：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4389120</wp:posOffset>
            </wp:positionH>
            <wp:positionV relativeFrom="paragraph">
              <wp:posOffset>417830</wp:posOffset>
            </wp:positionV>
            <wp:extent cx="922020" cy="762000"/>
            <wp:effectExtent b="0" l="0" r="0" t="0"/>
            <wp:wrapSquare wrapText="bothSides" distB="0" distT="0" distL="114300" distR="114300"/>
            <wp:docPr descr="3-102" id="3" name="image15.png"/>
            <a:graphic>
              <a:graphicData uri="http://schemas.openxmlformats.org/drawingml/2006/picture">
                <pic:pic>
                  <pic:nvPicPr>
                    <pic:cNvPr descr="3-102" id="0" name="image15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∆AIB：∆BIC：∆CIA=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∆BIC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的面積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平方單位。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180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  <w:style w:type="table" w:styleId="Table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  <w:spacing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png"/><Relationship Id="rId11" Type="http://schemas.openxmlformats.org/officeDocument/2006/relationships/image" Target="media/image21.png"/><Relationship Id="rId22" Type="http://schemas.openxmlformats.org/officeDocument/2006/relationships/image" Target="media/image40.png"/><Relationship Id="rId10" Type="http://schemas.openxmlformats.org/officeDocument/2006/relationships/image" Target="media/image22.png"/><Relationship Id="rId21" Type="http://schemas.openxmlformats.org/officeDocument/2006/relationships/image" Target="media/image39.png"/><Relationship Id="rId13" Type="http://schemas.openxmlformats.org/officeDocument/2006/relationships/image" Target="media/image23.png"/><Relationship Id="rId24" Type="http://schemas.openxmlformats.org/officeDocument/2006/relationships/image" Target="media/image15.png"/><Relationship Id="rId12" Type="http://schemas.openxmlformats.org/officeDocument/2006/relationships/image" Target="media/image25.png"/><Relationship Id="rId23" Type="http://schemas.openxmlformats.org/officeDocument/2006/relationships/image" Target="media/image14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9.png"/><Relationship Id="rId15" Type="http://schemas.openxmlformats.org/officeDocument/2006/relationships/image" Target="media/image28.png"/><Relationship Id="rId14" Type="http://schemas.openxmlformats.org/officeDocument/2006/relationships/image" Target="media/image33.png"/><Relationship Id="rId17" Type="http://schemas.openxmlformats.org/officeDocument/2006/relationships/image" Target="media/image34.png"/><Relationship Id="rId16" Type="http://schemas.openxmlformats.org/officeDocument/2006/relationships/image" Target="media/image32.png"/><Relationship Id="rId5" Type="http://schemas.openxmlformats.org/officeDocument/2006/relationships/image" Target="media/image16.png"/><Relationship Id="rId19" Type="http://schemas.openxmlformats.org/officeDocument/2006/relationships/image" Target="media/image38.png"/><Relationship Id="rId6" Type="http://schemas.openxmlformats.org/officeDocument/2006/relationships/image" Target="media/image18.png"/><Relationship Id="rId18" Type="http://schemas.openxmlformats.org/officeDocument/2006/relationships/image" Target="media/image36.png"/><Relationship Id="rId7" Type="http://schemas.openxmlformats.org/officeDocument/2006/relationships/image" Target="media/image17.png"/><Relationship Id="rId8" Type="http://schemas.openxmlformats.org/officeDocument/2006/relationships/image" Target="media/image20.png"/></Relationships>
</file>